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AE8AF">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14:paraId="3C0ECEC3">
      <w:pPr>
        <w:keepNext w:val="0"/>
        <w:keepLines w:val="0"/>
        <w:pageBreakBefore w:val="0"/>
        <w:widowControl w:val="0"/>
        <w:kinsoku/>
        <w:wordWrap/>
        <w:overflowPunct/>
        <w:topLinePunct w:val="0"/>
        <w:autoSpaceDE/>
        <w:autoSpaceDN/>
        <w:bidi w:val="0"/>
        <w:snapToGrid w:val="0"/>
        <w:spacing w:line="56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《关于贯彻落实基本医疗保险参保长效机制的通知》政策解读</w:t>
      </w:r>
    </w:p>
    <w:p w14:paraId="715DAD23">
      <w:pPr>
        <w:keepNext w:val="0"/>
        <w:keepLines w:val="0"/>
        <w:pageBreakBefore w:val="0"/>
        <w:widowControl w:val="0"/>
        <w:kinsoku/>
        <w:wordWrap/>
        <w:overflowPunct/>
        <w:topLinePunct w:val="0"/>
        <w:bidi w:val="0"/>
        <w:spacing w:line="560" w:lineRule="exact"/>
        <w:jc w:val="both"/>
        <w:textAlignment w:val="auto"/>
        <w:rPr>
          <w:rFonts w:hint="eastAsia" w:ascii="仿宋" w:hAnsi="仿宋" w:eastAsia="仿宋" w:cs="仿宋"/>
          <w:sz w:val="32"/>
          <w:szCs w:val="32"/>
        </w:rPr>
      </w:pPr>
    </w:p>
    <w:p w14:paraId="35684BB2">
      <w:pPr>
        <w:keepNext w:val="0"/>
        <w:keepLines w:val="0"/>
        <w:pageBreakBefore w:val="0"/>
        <w:widowControl w:val="0"/>
        <w:kinsoku/>
        <w:wordWrap/>
        <w:overflowPunct/>
        <w:topLinePunct w:val="0"/>
        <w:bidi w:val="0"/>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一、文件制定背景</w:t>
      </w:r>
    </w:p>
    <w:p w14:paraId="3ADB362C">
      <w:pPr>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为确保我市各级部门准确理解并有效执行国家、省出台的参保长效机制，根据《国务院办公厅关于健全基本医疗保险参保长效机制的指导意见》（国办发〔2024〕38号）、《国家医疗保障局办公室推动落实&lt;国务院办公厅关于健全基本医疗保险参保长效机制的指导意见&gt;的通知》（医保办发〔2024〕17号）及《广东省医疗保障局关于贯彻落实基本医疗保险参保长效机制的通知》（粤医保规〔2024〕9号）精神，结合我市实际，我局</w:t>
      </w:r>
      <w:bookmarkStart w:id="0" w:name="_GoBack"/>
      <w:bookmarkEnd w:id="0"/>
      <w:r>
        <w:rPr>
          <w:rFonts w:hint="eastAsia" w:ascii="仿宋" w:hAnsi="仿宋" w:eastAsia="仿宋" w:cs="仿宋"/>
          <w:color w:val="auto"/>
          <w:sz w:val="32"/>
          <w:szCs w:val="32"/>
          <w:highlight w:val="none"/>
          <w:lang w:val="en-US" w:eastAsia="zh-CN"/>
        </w:rPr>
        <w:t>印发了《关于贯彻落实基本医疗保险参保长效机制的通知》。</w:t>
      </w:r>
    </w:p>
    <w:p w14:paraId="172D0421">
      <w:pPr>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二、政策依据</w:t>
      </w:r>
    </w:p>
    <w:p w14:paraId="1054C0A5">
      <w:pPr>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highlight w:val="none"/>
          <w:lang w:val="en-US" w:eastAsia="zh-CN"/>
        </w:rPr>
        <w:t>（一）《国务院办公厅关于健全基本医疗保险参保长效机制的指导意见》（国办发〔2024〕38号）</w:t>
      </w:r>
    </w:p>
    <w:p w14:paraId="09AEC756">
      <w:pPr>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（二）《国家医疗保障局办公室推动落实&lt;国务院办公厅关于健全基本医疗保险参保长效机制的指导意见&gt;的通知》（医保办发〔2024〕17号）</w:t>
      </w:r>
    </w:p>
    <w:p w14:paraId="237D39FF">
      <w:pPr>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（三）《广东省医疗保障局关于贯彻落实基本医疗保险参保长效机制的通知》（粤医保规〔2024〕9号）</w:t>
      </w:r>
    </w:p>
    <w:p w14:paraId="321738B9">
      <w:pPr>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三、主要内容说明</w:t>
      </w:r>
    </w:p>
    <w:p w14:paraId="7713DC4C">
      <w:pPr>
        <w:keepNext w:val="0"/>
        <w:keepLines w:val="0"/>
        <w:pageBreakBefore w:val="0"/>
        <w:widowControl w:val="0"/>
        <w:kinsoku/>
        <w:wordWrap/>
        <w:overflowPunct/>
        <w:topLinePunct w:val="0"/>
        <w:bidi w:val="0"/>
        <w:spacing w:line="560" w:lineRule="exact"/>
        <w:ind w:firstLine="640" w:firstLineChars="200"/>
        <w:jc w:val="both"/>
        <w:textAlignment w:val="auto"/>
        <w:rPr>
          <w:rFonts w:hint="default" w:ascii="仿宋" w:hAnsi="仿宋" w:eastAsia="仿宋" w:cs="仿宋"/>
          <w:b w:val="0"/>
          <w:bCs w:val="0"/>
          <w:sz w:val="32"/>
          <w:szCs w:val="32"/>
          <w:lang w:val="en-US" w:eastAsia="zh-CN"/>
        </w:rPr>
      </w:pPr>
      <w:r>
        <w:rPr>
          <w:rFonts w:hint="eastAsia" w:ascii="仿宋" w:hAnsi="仿宋" w:eastAsia="仿宋" w:cs="仿宋"/>
          <w:sz w:val="32"/>
          <w:szCs w:val="32"/>
        </w:rPr>
        <w:t>《</w:t>
      </w:r>
      <w:r>
        <w:rPr>
          <w:rFonts w:hint="eastAsia" w:ascii="仿宋" w:hAnsi="仿宋" w:eastAsia="仿宋" w:cs="仿宋"/>
          <w:color w:val="auto"/>
          <w:sz w:val="32"/>
          <w:szCs w:val="32"/>
          <w:highlight w:val="none"/>
          <w:lang w:val="en-US" w:eastAsia="zh-CN"/>
        </w:rPr>
        <w:t>关于贯彻落实基本医疗保险参保长效机制的通知</w:t>
      </w:r>
      <w:r>
        <w:rPr>
          <w:rFonts w:hint="eastAsia" w:ascii="仿宋" w:hAnsi="仿宋" w:eastAsia="仿宋" w:cs="仿宋"/>
          <w:sz w:val="32"/>
          <w:szCs w:val="32"/>
        </w:rPr>
        <w:t>》</w:t>
      </w:r>
      <w:r>
        <w:rPr>
          <w:rFonts w:hint="default" w:ascii="仿宋" w:hAnsi="仿宋" w:eastAsia="仿宋" w:cs="仿宋"/>
          <w:b w:val="0"/>
          <w:bCs w:val="0"/>
          <w:sz w:val="32"/>
          <w:szCs w:val="32"/>
          <w:lang w:val="en-US" w:eastAsia="zh-CN"/>
        </w:rPr>
        <w:t>，主要内容包括：</w:t>
      </w:r>
    </w:p>
    <w:p w14:paraId="4A9DC334">
      <w:pPr>
        <w:pStyle w:val="9"/>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（一）放开参保户籍限制</w:t>
      </w:r>
    </w:p>
    <w:p w14:paraId="34B80F81">
      <w:pPr>
        <w:pStyle w:val="9"/>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明确除参加职工医保和按规定享受其他保障的人员以外，其他所有城乡居民，包括长期在我市居住的非本市户籍人员、在校学生、新生儿等均可凭身份证、户口本(含异地)、居住证(含异地)或出生证参加我市城乡居民医保。</w:t>
      </w:r>
    </w:p>
    <w:p w14:paraId="72C2E9D5">
      <w:pPr>
        <w:pStyle w:val="9"/>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（二）连续参保激励机制</w:t>
      </w:r>
    </w:p>
    <w:p w14:paraId="7D34A3E4">
      <w:pPr>
        <w:pStyle w:val="9"/>
        <w:keepNext w:val="0"/>
        <w:keepLines w:val="0"/>
        <w:pageBreakBefore w:val="0"/>
        <w:widowControl w:val="0"/>
        <w:kinsoku/>
        <w:wordWrap/>
        <w:overflowPunct/>
        <w:topLinePunct w:val="0"/>
        <w:bidi w:val="0"/>
        <w:spacing w:line="560" w:lineRule="exact"/>
        <w:ind w:firstLine="643"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bCs/>
          <w:sz w:val="32"/>
          <w:szCs w:val="32"/>
          <w:lang w:val="en-US" w:eastAsia="zh-CN"/>
        </w:rPr>
        <w:t>1.提高连续参保人员报销比例。</w:t>
      </w:r>
      <w:r>
        <w:rPr>
          <w:rFonts w:hint="eastAsia" w:ascii="仿宋" w:hAnsi="仿宋" w:eastAsia="仿宋" w:cs="仿宋"/>
          <w:b w:val="0"/>
          <w:bCs w:val="0"/>
          <w:sz w:val="32"/>
          <w:szCs w:val="32"/>
          <w:lang w:val="en-US" w:eastAsia="zh-CN"/>
        </w:rPr>
        <w:t>明确连续缴纳我市城乡居民医保的人员，在连续缴费的第4年，住院及门诊特定病种支付比例在现行政策基础上提高1%；在连续缴费的第5年，住院及门诊特定病种支付比例在现行政策基础上提高2%；连续缴费达到6年及以上的，自连续缴费第6年起，住院及门诊特定病种支付比例在现行政策基础上提高3%。参保人中断缴费后重新缴费的，连续缴费年限重新计算。</w:t>
      </w:r>
    </w:p>
    <w:p w14:paraId="501113AB">
      <w:pPr>
        <w:pStyle w:val="9"/>
        <w:keepNext w:val="0"/>
        <w:keepLines w:val="0"/>
        <w:pageBreakBefore w:val="0"/>
        <w:widowControl w:val="0"/>
        <w:kinsoku/>
        <w:wordWrap/>
        <w:overflowPunct/>
        <w:topLinePunct w:val="0"/>
        <w:bidi w:val="0"/>
        <w:spacing w:line="560" w:lineRule="exact"/>
        <w:ind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2.提高连续参保人员大病保险报销额度</w:t>
      </w:r>
    </w:p>
    <w:p w14:paraId="48C03075">
      <w:pPr>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b w:val="0"/>
          <w:bCs w:val="0"/>
          <w:sz w:val="32"/>
          <w:szCs w:val="32"/>
          <w:lang w:val="en-US" w:eastAsia="zh-CN"/>
        </w:rPr>
        <w:t>（1）</w:t>
      </w:r>
      <w:r>
        <w:rPr>
          <w:rFonts w:hint="eastAsia" w:ascii="仿宋" w:hAnsi="仿宋" w:eastAsia="仿宋" w:cs="仿宋"/>
          <w:color w:val="auto"/>
          <w:sz w:val="32"/>
          <w:szCs w:val="32"/>
          <w:highlight w:val="none"/>
          <w:lang w:val="en-US" w:eastAsia="zh-CN"/>
        </w:rPr>
        <w:t>明确对于连续缴纳居民医保满4年以上人员，自连续缴费的第5年起，之后每连续缴费1年，大病保险支付限额逐年提高3800元。</w:t>
      </w:r>
    </w:p>
    <w:p w14:paraId="40ED358C">
      <w:pPr>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（2）明确“连续缴纳居民医保”的定义包括参加省内异地居民医保和省外居民医保，但不包括职工医保。</w:t>
      </w:r>
    </w:p>
    <w:p w14:paraId="20B05ED8">
      <w:pPr>
        <w:pStyle w:val="3"/>
        <w:keepNext w:val="0"/>
        <w:keepLines w:val="0"/>
        <w:pageBreakBefore w:val="0"/>
        <w:widowControl w:val="0"/>
        <w:numPr>
          <w:ilvl w:val="0"/>
          <w:numId w:val="1"/>
        </w:numPr>
        <w:kinsoku/>
        <w:wordWrap/>
        <w:overflowPunct/>
        <w:topLinePunct w:val="0"/>
        <w:bidi w:val="0"/>
        <w:spacing w:line="560" w:lineRule="exact"/>
        <w:ind w:firstLine="640"/>
        <w:textAlignment w:val="auto"/>
        <w:rPr>
          <w:rFonts w:hint="default" w:ascii="仿宋" w:hAnsi="仿宋" w:eastAsia="仿宋" w:cs="仿宋"/>
          <w:kern w:val="2"/>
          <w:sz w:val="32"/>
          <w:szCs w:val="32"/>
          <w:lang w:val="en-US" w:eastAsia="zh-CN" w:bidi="ar-SA"/>
        </w:rPr>
      </w:pPr>
      <w:r>
        <w:rPr>
          <w:rFonts w:hint="eastAsia" w:ascii="仿宋" w:hAnsi="仿宋" w:eastAsia="仿宋" w:cs="仿宋"/>
          <w:color w:val="auto"/>
          <w:sz w:val="32"/>
          <w:szCs w:val="32"/>
          <w:highlight w:val="none"/>
          <w:lang w:val="en-US" w:eastAsia="zh-CN"/>
        </w:rPr>
        <w:t>明确</w:t>
      </w:r>
      <w:r>
        <w:rPr>
          <w:rFonts w:hint="eastAsia" w:ascii="仿宋" w:hAnsi="仿宋" w:eastAsia="仿宋" w:cs="仿宋"/>
          <w:kern w:val="2"/>
          <w:sz w:val="32"/>
          <w:szCs w:val="32"/>
          <w:lang w:val="en-US" w:eastAsia="zh-CN" w:bidi="ar-SA"/>
        </w:rPr>
        <w:t>参保人断保的，连续缴费年限重新计算；前期累加的大病保险激励金额继续有效，不予清零。</w:t>
      </w:r>
    </w:p>
    <w:p w14:paraId="6207A3C7">
      <w:pPr>
        <w:pStyle w:val="3"/>
        <w:keepNext w:val="0"/>
        <w:keepLines w:val="0"/>
        <w:pageBreakBefore w:val="0"/>
        <w:widowControl w:val="0"/>
        <w:kinsoku/>
        <w:wordWrap/>
        <w:overflowPunct/>
        <w:topLinePunct w:val="0"/>
        <w:bidi w:val="0"/>
        <w:spacing w:line="560" w:lineRule="exact"/>
        <w:ind w:firstLine="64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w:t>
      </w:r>
      <w:r>
        <w:rPr>
          <w:rFonts w:hint="eastAsia" w:ascii="仿宋" w:hAnsi="仿宋" w:eastAsia="仿宋" w:cs="仿宋"/>
          <w:color w:val="auto"/>
          <w:sz w:val="32"/>
          <w:szCs w:val="32"/>
          <w:highlight w:val="none"/>
          <w:lang w:val="en-US" w:eastAsia="zh-CN"/>
        </w:rPr>
        <w:t>明确</w:t>
      </w:r>
      <w:r>
        <w:rPr>
          <w:rFonts w:hint="eastAsia" w:ascii="仿宋" w:hAnsi="仿宋" w:eastAsia="仿宋" w:cs="仿宋"/>
          <w:kern w:val="2"/>
          <w:sz w:val="32"/>
          <w:szCs w:val="32"/>
          <w:lang w:val="en-US" w:eastAsia="zh-CN" w:bidi="ar-SA"/>
        </w:rPr>
        <w:t>参保人在城乡居民医保与职工医保之间切换的，其在参加职工医保期间不享受大病保险激励金额。参保人在职工医保停保后</w:t>
      </w:r>
      <w:r>
        <w:rPr>
          <w:rFonts w:hint="eastAsia" w:ascii="仿宋" w:hAnsi="仿宋" w:cs="仿宋"/>
          <w:kern w:val="2"/>
          <w:sz w:val="32"/>
          <w:szCs w:val="32"/>
          <w:lang w:val="en-US" w:eastAsia="zh-CN" w:bidi="ar-SA"/>
        </w:rPr>
        <w:t>3</w:t>
      </w:r>
      <w:r>
        <w:rPr>
          <w:rFonts w:hint="eastAsia" w:ascii="仿宋" w:hAnsi="仿宋" w:eastAsia="仿宋" w:cs="仿宋"/>
          <w:kern w:val="2"/>
          <w:sz w:val="32"/>
          <w:szCs w:val="32"/>
          <w:lang w:val="en-US" w:eastAsia="zh-CN" w:bidi="ar-SA"/>
        </w:rPr>
        <w:t>个月内（含）重新参加城乡居民医保的，其之前累积的城乡居民医保缴费年限将继续有效并继续累加，同时恢复大病保险激励金额待遇。</w:t>
      </w:r>
    </w:p>
    <w:p w14:paraId="212971A8">
      <w:pPr>
        <w:pStyle w:val="3"/>
        <w:keepNext w:val="0"/>
        <w:keepLines w:val="0"/>
        <w:pageBreakBefore w:val="0"/>
        <w:widowControl w:val="0"/>
        <w:kinsoku/>
        <w:wordWrap/>
        <w:overflowPunct/>
        <w:topLinePunct w:val="0"/>
        <w:bidi w:val="0"/>
        <w:spacing w:line="560" w:lineRule="exact"/>
        <w:ind w:firstLine="64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w:t>
      </w:r>
      <w:r>
        <w:rPr>
          <w:rFonts w:hint="eastAsia" w:ascii="仿宋" w:hAnsi="仿宋" w:eastAsia="仿宋" w:cs="仿宋"/>
          <w:color w:val="auto"/>
          <w:sz w:val="32"/>
          <w:szCs w:val="32"/>
          <w:highlight w:val="none"/>
          <w:lang w:val="en-US" w:eastAsia="zh-CN"/>
        </w:rPr>
        <w:t>明确提高连续参保人员大病保险报销额度</w:t>
      </w:r>
      <w:r>
        <w:rPr>
          <w:rFonts w:hint="eastAsia" w:ascii="仿宋" w:hAnsi="仿宋" w:eastAsia="仿宋" w:cs="仿宋"/>
          <w:kern w:val="2"/>
          <w:sz w:val="32"/>
          <w:szCs w:val="32"/>
          <w:lang w:val="en-US" w:eastAsia="zh-CN" w:bidi="ar-SA"/>
        </w:rPr>
        <w:t>连续缴费年限从参加2025年度城乡居民医保起计算，以前年度缴费情况不纳入连续缴费年限和断保年限计算。</w:t>
      </w:r>
    </w:p>
    <w:p w14:paraId="7E50E21B">
      <w:pPr>
        <w:pStyle w:val="3"/>
        <w:keepNext w:val="0"/>
        <w:keepLines w:val="0"/>
        <w:pageBreakBefore w:val="0"/>
        <w:widowControl w:val="0"/>
        <w:kinsoku/>
        <w:wordWrap/>
        <w:overflowPunct/>
        <w:topLinePunct w:val="0"/>
        <w:bidi w:val="0"/>
        <w:spacing w:line="560" w:lineRule="exact"/>
        <w:ind w:firstLine="640"/>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3.提高基金零报销人员大病保险报销额度</w:t>
      </w:r>
    </w:p>
    <w:p w14:paraId="22F47DC9">
      <w:pPr>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明确自2025年起，参加我市城乡居民医保人员在缴费当年未享受统筹基金待遇的，且次年继续缴费的，其大病保险最高支付限额增加3800元，参保人发生大病保险报销并使用奖励额度后，前期积累的零报销激励额度清零，但连续参保大病保险激励额度继续有效。连续参保人员大病保险激励额度及基金零报销大病保险激励额度累加计算，两项激励累计提高总额不超过我市大病保险年度统筹封顶线的20%。</w:t>
      </w:r>
    </w:p>
    <w:p w14:paraId="367219BA">
      <w:pPr>
        <w:pStyle w:val="3"/>
        <w:keepNext w:val="0"/>
        <w:keepLines w:val="0"/>
        <w:pageBreakBefore w:val="0"/>
        <w:widowControl w:val="0"/>
        <w:kinsoku/>
        <w:wordWrap/>
        <w:overflowPunct/>
        <w:topLinePunct w:val="0"/>
        <w:bidi w:val="0"/>
        <w:spacing w:line="560" w:lineRule="exact"/>
        <w:ind w:firstLine="640"/>
        <w:textAlignment w:val="auto"/>
        <w:rPr>
          <w:rFonts w:hint="default" w:ascii="仿宋" w:hAnsi="仿宋" w:eastAsia="仿宋" w:cs="仿宋"/>
          <w:kern w:val="2"/>
          <w:sz w:val="32"/>
          <w:szCs w:val="32"/>
          <w:lang w:val="en-US" w:eastAsia="zh-CN" w:bidi="ar-SA"/>
        </w:rPr>
      </w:pPr>
      <w:r>
        <w:rPr>
          <w:rFonts w:hint="eastAsia" w:ascii="仿宋" w:hAnsi="仿宋" w:eastAsia="仿宋" w:cs="仿宋"/>
          <w:color w:val="auto"/>
          <w:sz w:val="32"/>
          <w:szCs w:val="32"/>
          <w:highlight w:val="none"/>
          <w:lang w:val="en-US" w:eastAsia="zh-CN"/>
        </w:rPr>
        <w:t>（2）明确基金零报销的范围指城乡居民医保住院、门诊特定病种、普通门诊及药品单独支付统筹基金待遇。</w:t>
      </w:r>
    </w:p>
    <w:p w14:paraId="478ECCC7">
      <w:pPr>
        <w:pStyle w:val="9"/>
        <w:keepNext w:val="0"/>
        <w:keepLines w:val="0"/>
        <w:pageBreakBefore w:val="0"/>
        <w:widowControl w:val="0"/>
        <w:kinsoku/>
        <w:wordWrap/>
        <w:overflowPunct/>
        <w:topLinePunct w:val="0"/>
        <w:bidi w:val="0"/>
        <w:spacing w:line="560" w:lineRule="exact"/>
        <w:ind w:firstLine="640" w:firstLineChars="200"/>
        <w:jc w:val="both"/>
        <w:textAlignment w:val="auto"/>
        <w:rPr>
          <w:rFonts w:hint="default"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（三）待遇等待期调整机制</w:t>
      </w:r>
    </w:p>
    <w:p w14:paraId="25880938">
      <w:pPr>
        <w:keepNext w:val="0"/>
        <w:keepLines w:val="0"/>
        <w:pageBreakBefore w:val="0"/>
        <w:widowControl w:val="0"/>
        <w:kinsoku/>
        <w:wordWrap/>
        <w:overflowPunct/>
        <w:topLinePunct w:val="0"/>
        <w:bidi w:val="0"/>
        <w:spacing w:line="560" w:lineRule="exact"/>
        <w:ind w:firstLine="640"/>
        <w:textAlignment w:val="auto"/>
        <w:rPr>
          <w:rFonts w:hint="default"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1.未在集中征缴期参保人员待遇等待期</w:t>
      </w:r>
    </w:p>
    <w:p w14:paraId="2D56C868">
      <w:pPr>
        <w:pStyle w:val="9"/>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color w:val="auto"/>
          <w:kern w:val="2"/>
          <w:sz w:val="32"/>
          <w:szCs w:val="32"/>
          <w:highlight w:val="none"/>
          <w:lang w:val="en-US" w:eastAsia="zh-CN" w:bidi="ar-SA"/>
        </w:rPr>
      </w:pPr>
      <w:r>
        <w:rPr>
          <w:rFonts w:hint="eastAsia" w:ascii="仿宋" w:hAnsi="仿宋" w:eastAsia="仿宋" w:cs="仿宋"/>
          <w:color w:val="auto"/>
          <w:kern w:val="2"/>
          <w:sz w:val="32"/>
          <w:szCs w:val="32"/>
          <w:highlight w:val="none"/>
          <w:lang w:val="en-US" w:eastAsia="zh-CN" w:bidi="ar-SA"/>
        </w:rPr>
        <w:t>（1）明确在集中征缴期内完成缴费的人员待遇享受期按现行政策规定为费款所属年度的1月1日-12月31日。</w:t>
      </w:r>
    </w:p>
    <w:p w14:paraId="6DDC4AFA">
      <w:pPr>
        <w:pStyle w:val="9"/>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kern w:val="2"/>
          <w:sz w:val="32"/>
          <w:szCs w:val="32"/>
          <w:highlight w:val="none"/>
          <w:lang w:val="en-US" w:eastAsia="zh-CN" w:bidi="ar-SA"/>
        </w:rPr>
        <w:t>（2）</w:t>
      </w:r>
      <w:r>
        <w:rPr>
          <w:rFonts w:hint="eastAsia" w:ascii="仿宋" w:hAnsi="仿宋" w:eastAsia="仿宋" w:cs="仿宋"/>
          <w:color w:val="auto"/>
          <w:sz w:val="32"/>
          <w:szCs w:val="32"/>
          <w:highlight w:val="none"/>
          <w:lang w:val="en-US" w:eastAsia="zh-CN"/>
        </w:rPr>
        <w:t>明确除符合我市中途参保条件的人员外，其他人员可在非集中征缴期申请补缴，补缴后从缴费到账3个月后享受待遇。</w:t>
      </w:r>
    </w:p>
    <w:p w14:paraId="758ED3E6">
      <w:pPr>
        <w:keepNext w:val="0"/>
        <w:keepLines w:val="0"/>
        <w:pageBreakBefore w:val="0"/>
        <w:widowControl w:val="0"/>
        <w:kinsoku/>
        <w:wordWrap/>
        <w:overflowPunct/>
        <w:topLinePunct w:val="0"/>
        <w:bidi w:val="0"/>
        <w:spacing w:line="560" w:lineRule="exact"/>
        <w:ind w:firstLine="640"/>
        <w:textAlignment w:val="auto"/>
        <w:rPr>
          <w:rFonts w:hint="default"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2.未连续参保人员待遇等待期</w:t>
      </w:r>
    </w:p>
    <w:p w14:paraId="756598B0">
      <w:pPr>
        <w:pStyle w:val="9"/>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明确自2025年起，未连续参保人员断保后（包括既不参加城乡居民医保也不参加职工医保的人员），即使在集中征缴期重新参保的，需设置固定待遇等待期3个月，即自4月1日起享受待遇。每多断保1年，增加1个月的变动待遇等待期，固定待遇等待期加上变动待遇等待期最长不超过12个月。</w:t>
      </w:r>
    </w:p>
    <w:p w14:paraId="57E55533">
      <w:pPr>
        <w:pStyle w:val="9"/>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明确参保人断保后重新参保的，可通过补缴断保期间的城乡居民医保保费修复变动待遇等待期，每补缴1年的保费可减少1个月的变动待遇等待期；连续断缴4年及以上的，修复后的固定待遇等待期和变动待遇等待期之和为6个月。修复缴费标准按照我市城乡居民医保应补缴年度的个人缴费标准执行，补缴后不予追溯待遇。</w:t>
      </w:r>
    </w:p>
    <w:p w14:paraId="4F634A6F">
      <w:pPr>
        <w:pStyle w:val="9"/>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（3）明确新生儿从出生次年起计算是否连续参保，如未连续参保的，按规定设置3个月待遇等待期及相应的变动待遇等待期。</w:t>
      </w:r>
    </w:p>
    <w:p w14:paraId="02FFC514">
      <w:pPr>
        <w:pStyle w:val="9"/>
        <w:keepNext w:val="0"/>
        <w:keepLines w:val="0"/>
        <w:pageBreakBefore w:val="0"/>
        <w:widowControl w:val="0"/>
        <w:kinsoku/>
        <w:wordWrap/>
        <w:overflowPunct/>
        <w:topLinePunct w:val="0"/>
        <w:bidi w:val="0"/>
        <w:spacing w:line="560" w:lineRule="exact"/>
        <w:ind w:firstLine="640" w:firstLineChars="200"/>
        <w:jc w:val="both"/>
        <w:textAlignment w:val="auto"/>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（四）政策执行时间</w:t>
      </w:r>
    </w:p>
    <w:p w14:paraId="4ABBB644">
      <w:pPr>
        <w:pStyle w:val="9"/>
        <w:keepNext w:val="0"/>
        <w:keepLines w:val="0"/>
        <w:pageBreakBefore w:val="0"/>
        <w:widowControl w:val="0"/>
        <w:kinsoku/>
        <w:wordWrap/>
        <w:overflowPunct/>
        <w:topLinePunct w:val="0"/>
        <w:bidi w:val="0"/>
        <w:spacing w:line="560" w:lineRule="exact"/>
        <w:ind w:firstLine="640" w:firstLineChars="200"/>
        <w:jc w:val="both"/>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明确我市参保长效机制政策自2025年3月1日起执行，有效期为5年。</w:t>
      </w:r>
    </w:p>
    <w:sectPr>
      <w:headerReference r:id="rId3" w:type="default"/>
      <w:footerReference r:id="rId4" w:type="default"/>
      <w:pgSz w:w="11906" w:h="16838"/>
      <w:pgMar w:top="2098" w:right="1474" w:bottom="1984" w:left="1587" w:header="851" w:footer="1361"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224ABCF-E2A1-4017-891E-FA281EC3D1F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仿宋简体">
    <w:panose1 w:val="02000000000000000000"/>
    <w:charset w:val="86"/>
    <w:family w:val="script"/>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embedRegular r:id="rId2" w:fontKey="{5929D100-D4FD-4763-8373-3116D54A8B51}"/>
  </w:font>
  <w:font w:name="仿宋">
    <w:panose1 w:val="02010609060101010101"/>
    <w:charset w:val="86"/>
    <w:family w:val="auto"/>
    <w:pitch w:val="default"/>
    <w:sig w:usb0="800002BF" w:usb1="38CF7CFA" w:usb2="00000016" w:usb3="00000000" w:csb0="00040001" w:csb1="00000000"/>
    <w:embedRegular r:id="rId3" w:fontKey="{C29134A3-7017-4DB6-B46B-4DC007FE24B5}"/>
  </w:font>
  <w:font w:name="楷体">
    <w:panose1 w:val="02010609060101010101"/>
    <w:charset w:val="86"/>
    <w:family w:val="auto"/>
    <w:pitch w:val="default"/>
    <w:sig w:usb0="800002BF" w:usb1="38CF7CFA" w:usb2="00000016" w:usb3="00000000" w:csb0="00040001" w:csb1="00000000"/>
    <w:embedRegular r:id="rId4" w:fontKey="{3F945EAB-5089-458B-BDC9-4427E717D41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24147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E93703">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CE93703">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114DB">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5D9ACCE"/>
    <w:multiLevelType w:val="singleLevel"/>
    <w:tmpl w:val="75D9ACCE"/>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zYTNjZjcyNzQ2NDVlMzA1ZGY0ZTNhNmFlOWNhYmQifQ=="/>
  </w:docVars>
  <w:rsids>
    <w:rsidRoot w:val="0A39646D"/>
    <w:rsid w:val="003B643A"/>
    <w:rsid w:val="00561306"/>
    <w:rsid w:val="02306473"/>
    <w:rsid w:val="03E36D90"/>
    <w:rsid w:val="050414F1"/>
    <w:rsid w:val="0560706F"/>
    <w:rsid w:val="07866B35"/>
    <w:rsid w:val="07D653C6"/>
    <w:rsid w:val="09616F12"/>
    <w:rsid w:val="09BA2AC6"/>
    <w:rsid w:val="0A39646D"/>
    <w:rsid w:val="0A4D7496"/>
    <w:rsid w:val="0A7D421F"/>
    <w:rsid w:val="0B6131F9"/>
    <w:rsid w:val="0B9B3907"/>
    <w:rsid w:val="0E0802A4"/>
    <w:rsid w:val="0E1C5AFD"/>
    <w:rsid w:val="0E5E6115"/>
    <w:rsid w:val="0F9C6EF5"/>
    <w:rsid w:val="0FF52AA9"/>
    <w:rsid w:val="10233173"/>
    <w:rsid w:val="10D3518A"/>
    <w:rsid w:val="111D5D5A"/>
    <w:rsid w:val="112847B9"/>
    <w:rsid w:val="12505D75"/>
    <w:rsid w:val="127557DC"/>
    <w:rsid w:val="13011026"/>
    <w:rsid w:val="13054B2F"/>
    <w:rsid w:val="13525B1D"/>
    <w:rsid w:val="13FA068E"/>
    <w:rsid w:val="14E1184E"/>
    <w:rsid w:val="151412DC"/>
    <w:rsid w:val="15604521"/>
    <w:rsid w:val="162C1A4E"/>
    <w:rsid w:val="1651030E"/>
    <w:rsid w:val="1A0538E9"/>
    <w:rsid w:val="1AD604CD"/>
    <w:rsid w:val="1BA101B7"/>
    <w:rsid w:val="1BBF7805"/>
    <w:rsid w:val="1BD6378F"/>
    <w:rsid w:val="1CC24EC4"/>
    <w:rsid w:val="1CF30371"/>
    <w:rsid w:val="1D1734F7"/>
    <w:rsid w:val="1E7473B3"/>
    <w:rsid w:val="1E9D0A27"/>
    <w:rsid w:val="1ED45D9C"/>
    <w:rsid w:val="1F30765A"/>
    <w:rsid w:val="209854B7"/>
    <w:rsid w:val="22631AF5"/>
    <w:rsid w:val="24300B6A"/>
    <w:rsid w:val="25331C52"/>
    <w:rsid w:val="25DA0320"/>
    <w:rsid w:val="2637307C"/>
    <w:rsid w:val="26BC17D3"/>
    <w:rsid w:val="276500BD"/>
    <w:rsid w:val="289B522A"/>
    <w:rsid w:val="2B8F395A"/>
    <w:rsid w:val="2CDE6947"/>
    <w:rsid w:val="2CE922F3"/>
    <w:rsid w:val="2D850B71"/>
    <w:rsid w:val="2E533DF5"/>
    <w:rsid w:val="2F13296E"/>
    <w:rsid w:val="2FF535C3"/>
    <w:rsid w:val="31D75713"/>
    <w:rsid w:val="33BA52ED"/>
    <w:rsid w:val="340C5B48"/>
    <w:rsid w:val="3457302B"/>
    <w:rsid w:val="349A13A6"/>
    <w:rsid w:val="39F676D1"/>
    <w:rsid w:val="3C0A1656"/>
    <w:rsid w:val="3C3C71E7"/>
    <w:rsid w:val="3C7B7D0F"/>
    <w:rsid w:val="3D3F0AB4"/>
    <w:rsid w:val="3D4D03F7"/>
    <w:rsid w:val="41FE3CE1"/>
    <w:rsid w:val="42F737E4"/>
    <w:rsid w:val="4426386D"/>
    <w:rsid w:val="444529B0"/>
    <w:rsid w:val="456A6B72"/>
    <w:rsid w:val="45A8769B"/>
    <w:rsid w:val="46357180"/>
    <w:rsid w:val="4685178A"/>
    <w:rsid w:val="470152B5"/>
    <w:rsid w:val="471A45C8"/>
    <w:rsid w:val="4B047121"/>
    <w:rsid w:val="4D447CA9"/>
    <w:rsid w:val="4DAE1F65"/>
    <w:rsid w:val="4DCE20B1"/>
    <w:rsid w:val="4E5B79A0"/>
    <w:rsid w:val="4EE3713C"/>
    <w:rsid w:val="4FFD268F"/>
    <w:rsid w:val="50C91E6E"/>
    <w:rsid w:val="50E83041"/>
    <w:rsid w:val="516B614C"/>
    <w:rsid w:val="52304CA0"/>
    <w:rsid w:val="529F5982"/>
    <w:rsid w:val="52A336C4"/>
    <w:rsid w:val="53160A2D"/>
    <w:rsid w:val="54A43723"/>
    <w:rsid w:val="55747599"/>
    <w:rsid w:val="55C91693"/>
    <w:rsid w:val="55FA184D"/>
    <w:rsid w:val="55FD758F"/>
    <w:rsid w:val="56506ADF"/>
    <w:rsid w:val="5672503A"/>
    <w:rsid w:val="58851ECA"/>
    <w:rsid w:val="58873140"/>
    <w:rsid w:val="5972755F"/>
    <w:rsid w:val="59861649"/>
    <w:rsid w:val="5A3E3CD2"/>
    <w:rsid w:val="5ABA5A4E"/>
    <w:rsid w:val="5BBE0D31"/>
    <w:rsid w:val="5CEE378D"/>
    <w:rsid w:val="5D26049E"/>
    <w:rsid w:val="5DA0717E"/>
    <w:rsid w:val="5E135BA1"/>
    <w:rsid w:val="5F2A59DA"/>
    <w:rsid w:val="5F622211"/>
    <w:rsid w:val="60BD3BA3"/>
    <w:rsid w:val="60E75222"/>
    <w:rsid w:val="617D3332"/>
    <w:rsid w:val="62231EB8"/>
    <w:rsid w:val="62B66AFB"/>
    <w:rsid w:val="65D657DF"/>
    <w:rsid w:val="68444BA9"/>
    <w:rsid w:val="6A5E0025"/>
    <w:rsid w:val="6AFE3735"/>
    <w:rsid w:val="6BA6580A"/>
    <w:rsid w:val="6C017EB0"/>
    <w:rsid w:val="6CCD7863"/>
    <w:rsid w:val="6EB42BD3"/>
    <w:rsid w:val="6F8306C6"/>
    <w:rsid w:val="6FD31E75"/>
    <w:rsid w:val="7036282E"/>
    <w:rsid w:val="705A3D04"/>
    <w:rsid w:val="71681405"/>
    <w:rsid w:val="71D071F8"/>
    <w:rsid w:val="728B18E9"/>
    <w:rsid w:val="72EB459F"/>
    <w:rsid w:val="73245D03"/>
    <w:rsid w:val="73754CED"/>
    <w:rsid w:val="7476258E"/>
    <w:rsid w:val="774C75D7"/>
    <w:rsid w:val="79BE0C60"/>
    <w:rsid w:val="7AA93212"/>
    <w:rsid w:val="7BE129E3"/>
    <w:rsid w:val="7C9D6D67"/>
    <w:rsid w:val="7D014B29"/>
    <w:rsid w:val="7D0C631C"/>
    <w:rsid w:val="7D7F0706"/>
    <w:rsid w:val="7DD56578"/>
    <w:rsid w:val="7E5753DA"/>
    <w:rsid w:val="7EB9429C"/>
    <w:rsid w:val="7FE64A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rPr>
      <w:rFonts w:ascii="宋体" w:hAnsi="宋体"/>
      <w:sz w:val="32"/>
      <w:szCs w:val="24"/>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9">
    <w:name w:val="Default"/>
    <w:unhideWhenUsed/>
    <w:qFormat/>
    <w:uiPriority w:val="99"/>
    <w:pPr>
      <w:widowControl w:val="0"/>
      <w:autoSpaceDE w:val="0"/>
      <w:autoSpaceDN w:val="0"/>
      <w:adjustRightInd w:val="0"/>
    </w:pPr>
    <w:rPr>
      <w:rFonts w:hint="eastAsia" w:ascii="方正仿宋简体" w:hAnsi="方正仿宋简体" w:eastAsia="方正仿宋简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1857</Words>
  <Characters>1911</Characters>
  <Lines>0</Lines>
  <Paragraphs>0</Paragraphs>
  <TotalTime>13</TotalTime>
  <ScaleCrop>false</ScaleCrop>
  <LinksUpToDate>false</LinksUpToDate>
  <CharactersWithSpaces>1911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2024-01-10T01:30:00Z</dcterms:created>
  <dc:creator>WPS</dc:creator>
  <cp:lastModifiedBy>Sunshile</cp:lastModifiedBy>
  <cp:lastPrinted>2025-02-27T09:59:00Z</cp:lastPrinted>
  <dcterms:modified xsi:type="dcterms:W3CDTF">2025-04-01T07:15:39Z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8471C64AB26A4B67867F039313391786_13</vt:lpwstr>
  </property>
  <property fmtid="{D5CDD505-2E9C-101B-9397-08002B2CF9AE}" pid="4" name="KSOTemplateDocerSaveRecord">
    <vt:lpwstr>eyJoZGlkIjoiNzlhOTgwOTkwMzg0YWU2N2FiNDViNWI2ZWExODdjZWEiLCJ1c2VySWQiOiI3MzMwODExMzgifQ==</vt:lpwstr>
  </property>
</Properties>
</file>