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  <w:bookmarkStart w:id="0" w:name="_GoBack"/>
      <w:bookmarkEnd w:id="0"/>
    </w:p>
    <w:tbl>
      <w:tblPr>
        <w:tblStyle w:val="2"/>
        <w:tblW w:w="0" w:type="auto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2921"/>
        <w:gridCol w:w="1036"/>
        <w:gridCol w:w="1472"/>
        <w:gridCol w:w="24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阳江市门诊特定病种范围及定额标准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病种名称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职工医保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（元/月）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城乡居民医保（元/月）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慢性阻塞性肺疾病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高血压病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冠心病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慢性心功能不全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肝硬化（失代偿期）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慢性乙型肝炎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丙型肝炎（HCV RNA阳性）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慢性肾功能不全（非透析治疗）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肾脏移植术后抗排异治疗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造血干细胞移植后抗排异治疗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糖尿病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类风湿关节炎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恶性肿瘤（非放化疗）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地中海贫血（海洋性贫血或珠蛋白生成障碍性贫血）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再生障碍性贫血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血友病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帕金森病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癫痫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脑血管疾病后遗症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艾滋病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活动性肺结核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耐多药肺结核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系统性红斑狼疮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心脏移植术后抗排异治疗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肝脏移植术后抗排异治疗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肺脏移植术后抗排异治疗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肺动脉高压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支气管哮喘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骨髓纤维化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骨髓增生异常综合征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C型尼曼匹克病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肢端肥大症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多发性硬化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强直性脊柱炎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银屑病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克罗恩病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溃疡性结肠炎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湿性年龄相关性黄斑变性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糖尿病黄斑水肿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脉络膜新生血管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视网膜静脉阻塞所致黄斑水肿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月度支付限额当年度待遇有效期内累积使用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精神分裂症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分裂情感性障碍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持久的妄想性障碍（偏执性精神病）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双相（情感）障碍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癫痫所致精神障碍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精神发育迟滞伴发精神障碍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慢性肾功能不全（血透治疗）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慢性肾功能不全（腹透治疗）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恶性肿瘤（化疗，含生物靶向药物、内分泌治疗）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恶性肿瘤（放疗）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按年度统筹封顶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新冠肺炎出院患者门诊康复治疗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1344A"/>
    <w:rsid w:val="6521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2021-01-28T08:39:00Z</dcterms:created>
  <dc:creator>ADm</dc:creator>
  <cp:lastModifiedBy>ADm</cp:lastModifiedBy>
  <dcterms:modified xsi:type="dcterms:W3CDTF">2021-01-28T08:51:39Z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